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6D5D1" w14:textId="611F415D" w:rsidR="006C1DF8" w:rsidRPr="00584D6E" w:rsidRDefault="006C1DF8" w:rsidP="00AB4615">
      <w:pPr>
        <w:widowControl w:val="0"/>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jc w:val="center"/>
        <w:rPr>
          <w:rFonts w:ascii="Times New Roman" w:eastAsia="Times New Roman" w:hAnsi="Times New Roman" w:cs="Times New Roman"/>
          <w:b/>
          <w:bCs/>
          <w:sz w:val="26"/>
          <w:szCs w:val="26"/>
          <w:lang w:eastAsia="x-none"/>
        </w:rPr>
      </w:pPr>
      <w:r w:rsidRPr="006C1DF8">
        <w:rPr>
          <w:b/>
          <w:sz w:val="26"/>
          <w:lang w:bidi="uk-UA"/>
        </w:rPr>
        <w:t xml:space="preserve">ПАМ’ЯТКА ЩОДО ПРАВ ТА ОБОВ'ЯЗКІВ </w:t>
      </w:r>
    </w:p>
    <w:p w14:paraId="5A65978E" w14:textId="77777777" w:rsidR="006C1DF8" w:rsidRPr="006C1DF8" w:rsidRDefault="006C1DF8" w:rsidP="00AB4615">
      <w:pPr>
        <w:widowControl w:val="0"/>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jc w:val="center"/>
        <w:rPr>
          <w:rFonts w:ascii="Times New Roman" w:hAnsi="Times New Roman" w:cs="Times New Roman"/>
          <w:b/>
          <w:bCs/>
          <w:sz w:val="4"/>
          <w:szCs w:val="4"/>
          <w:lang w:val="x-none" w:eastAsia="x-none"/>
        </w:rPr>
      </w:pPr>
    </w:p>
    <w:p w14:paraId="0673FA42" w14:textId="77777777" w:rsidR="006C1DF8" w:rsidRPr="006C1DF8" w:rsidRDefault="006C1DF8" w:rsidP="00AB4615">
      <w:pPr>
        <w:widowControl w:val="0"/>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jc w:val="center"/>
        <w:rPr>
          <w:rFonts w:ascii="Times New Roman" w:hAnsi="Times New Roman" w:cs="Times New Roman"/>
          <w:b/>
          <w:bCs/>
          <w:sz w:val="6"/>
          <w:szCs w:val="6"/>
          <w:lang w:val="x-none" w:eastAsia="x-none"/>
        </w:rPr>
      </w:pPr>
    </w:p>
    <w:p w14:paraId="2A545706" w14:textId="77777777" w:rsidR="006C1DF8" w:rsidRPr="006C1DF8" w:rsidRDefault="006C1DF8" w:rsidP="00AB4615">
      <w:pPr>
        <w:widowControl w:val="0"/>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rPr>
          <w:rFonts w:ascii="Times New Roman" w:eastAsia="Times New Roman" w:hAnsi="Times New Roman" w:cs="Times New Roman"/>
          <w:b/>
          <w:bCs/>
          <w:sz w:val="20"/>
          <w:szCs w:val="20"/>
          <w:lang w:val="x-none" w:eastAsia="x-none"/>
        </w:rPr>
      </w:pPr>
      <w:r w:rsidRPr="006C1DF8">
        <w:rPr>
          <w:b/>
          <w:sz w:val="20"/>
          <w:lang w:bidi="uk-UA"/>
        </w:rPr>
        <w:t>Обвинувачений має наступні права та обов'язки:</w:t>
      </w:r>
    </w:p>
    <w:p w14:paraId="009B38A1" w14:textId="77777777" w:rsidR="006C1DF8" w:rsidRPr="006C1DF8" w:rsidRDefault="006C1DF8" w:rsidP="00AB4615">
      <w:pPr>
        <w:numPr>
          <w:ilvl w:val="0"/>
          <w:numId w:val="1"/>
        </w:num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ind w:left="0" w:firstLine="0"/>
        <w:jc w:val="both"/>
        <w:rPr>
          <w:rFonts w:ascii="Times New Roman" w:hAnsi="Times New Roman" w:cs="Times New Roman"/>
          <w:sz w:val="20"/>
          <w:szCs w:val="20"/>
          <w:lang w:val="x-none" w:eastAsia="x-none"/>
        </w:rPr>
      </w:pPr>
      <w:r w:rsidRPr="006C1DF8">
        <w:rPr>
          <w:sz w:val="20"/>
          <w:lang w:bidi="uk-UA"/>
        </w:rPr>
        <w:t>Право давати показання, відмовлятися давати показання або відмовлятися відповідати на окремі запитання без необхідності вказувати причину відмови (ст. 175 § 1)</w:t>
      </w:r>
      <w:r w:rsidRPr="00AB4615">
        <w:rPr>
          <w:position w:val="5"/>
          <w:sz w:val="16"/>
          <w:lang w:bidi="uk-UA"/>
        </w:rPr>
        <w:t>2)</w:t>
      </w:r>
      <w:r w:rsidRPr="006C1DF8">
        <w:rPr>
          <w:sz w:val="20"/>
          <w:lang w:bidi="uk-UA"/>
        </w:rPr>
        <w:t xml:space="preserve">. </w:t>
      </w:r>
    </w:p>
    <w:p w14:paraId="5DD83BD9" w14:textId="77777777" w:rsidR="006C1DF8" w:rsidRPr="006C1DF8" w:rsidRDefault="006C1DF8" w:rsidP="00AB4615">
      <w:pPr>
        <w:numPr>
          <w:ilvl w:val="0"/>
          <w:numId w:val="2"/>
        </w:num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ind w:left="0" w:firstLine="0"/>
        <w:jc w:val="both"/>
        <w:rPr>
          <w:rFonts w:ascii="Times New Roman" w:hAnsi="Times New Roman" w:cs="Times New Roman"/>
          <w:sz w:val="20"/>
          <w:szCs w:val="20"/>
          <w:lang w:val="x-none" w:eastAsia="x-none"/>
        </w:rPr>
      </w:pPr>
      <w:r w:rsidRPr="006C1DF8">
        <w:rPr>
          <w:sz w:val="20"/>
          <w:lang w:bidi="uk-UA"/>
        </w:rPr>
        <w:t xml:space="preserve">Право на допомогу обраного ним захисника. Якщо обвинувачений доведе, що він не в змозі понести витрати на призначення захисника за вибором без шкоди для необхідного утримання себе та своєї сім'ї, суд може призначити йому безкоштовного захисника. Заява про призначення безкоштовного захисника повинна бути подана до суду протягом 7 днів з дати вручення копії обвинувального акту. До заяви слід додати докази, що свідчать про те, що обвинувачений не в змозі нести витрати на захист без шкоди для необхідного утримання себе та своєї сім'ї. Якщо подання клопотання після закінчення строку спричинить необхідність зміни дати судового розгляду або засідання щодо умовного припинення провадження та клопотання про засудження без проведення судового засідання, клопотання буде розглянуто негайно після дати судового розгляду або засідання. Це стосується також випадків, коли заява була подана вчасно, але не відповідає формальним вимогам або до неї не додано доказів, що свідчать про те, що обвинувачений не в змозі покрити витрати на захист без шкоди для необхідного утримання себе та своєї сім'ї. Після першого терміну судового розгляду або зазначених засідань, вимога про призначення безкоштовного захисника повинна бути подана до суду в такий термін, щоб її розгляд не спричинив необхідності зміни наступного терміну судового розгляду або засідання. Залежно від результату судового розгляду, обвинувачений може бути зобов'язаний покрити витрати на призначення безкоштовного захисника. Обвинувачений, який не має обраного захисника, обов'язково отримає безкоштовного захисника, якщо: він не досяг 18 років; він глухий, німий або сліпий; існують обґрунтовані сумніви, чи його здатність усвідомлювати значення вчинку або керувати своєю поведінкою не була на момент вчинення цього вчинку виключена або значно обмежена; існують обґрунтовані сумніви, чи стан його психічного здоров'я дозволяє брати участь у судовому процесі або вести захист самостійно та розсудливо. Обвинувачений повинен мати захисника також тоді, коли суд вважає це необхідним з огляду на інші обставини, що ускладнюють захист, а також у провадженні перед окружним судом, якщо йому інкримінується злочин (ст. 6, ст. 78 § 1, ст. 79 § 1 і § 2, ст. 80, перше речення, ст. 81 § 1, ст. 338 § 1а, ст. 338b). </w:t>
      </w:r>
    </w:p>
    <w:p w14:paraId="4B7CD8FC" w14:textId="77777777" w:rsidR="006C1DF8" w:rsidRPr="006C1DF8" w:rsidRDefault="006C1DF8" w:rsidP="00AB4615">
      <w:pPr>
        <w:numPr>
          <w:ilvl w:val="0"/>
          <w:numId w:val="3"/>
        </w:num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ind w:left="0" w:firstLine="0"/>
        <w:jc w:val="both"/>
        <w:rPr>
          <w:rFonts w:ascii="Times New Roman" w:eastAsia="Times New Roman" w:hAnsi="Times New Roman" w:cs="Times New Roman"/>
          <w:sz w:val="20"/>
          <w:szCs w:val="20"/>
          <w:lang w:val="x-none" w:eastAsia="x-none"/>
        </w:rPr>
      </w:pPr>
      <w:r w:rsidRPr="006C1DF8">
        <w:rPr>
          <w:sz w:val="20"/>
          <w:lang w:bidi="uk-UA"/>
        </w:rPr>
        <w:t>Право подати письмову відповідь на обвинувальний акт. Це право належить обвинуваченому протягом 7 днів з моменту вручення обвинувального акту (ст. 338 § 2).</w:t>
      </w:r>
    </w:p>
    <w:p w14:paraId="0F9D2918" w14:textId="77777777" w:rsidR="006C1DF8" w:rsidRPr="006C1DF8" w:rsidRDefault="006C1DF8" w:rsidP="00AB4615">
      <w:pPr>
        <w:numPr>
          <w:ilvl w:val="0"/>
          <w:numId w:val="2"/>
        </w:num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ind w:left="0" w:firstLine="0"/>
        <w:jc w:val="both"/>
        <w:rPr>
          <w:rFonts w:ascii="Times New Roman" w:hAnsi="Times New Roman" w:cs="Times New Roman"/>
          <w:sz w:val="20"/>
          <w:szCs w:val="20"/>
          <w:lang w:val="x-none" w:eastAsia="x-none"/>
        </w:rPr>
      </w:pPr>
      <w:r w:rsidRPr="006C1DF8">
        <w:rPr>
          <w:sz w:val="20"/>
          <w:lang w:bidi="uk-UA"/>
        </w:rPr>
        <w:t>Право на участь у засіданні щодо умовного припинення провадження, якщо обвинувачений не був зобов'язаний брати участь у цьому засіданні (ст. 341 § 1).</w:t>
      </w:r>
    </w:p>
    <w:p w14:paraId="1B3E46A0" w14:textId="77777777" w:rsidR="006C1DF8" w:rsidRPr="006C1DF8" w:rsidRDefault="006C1DF8" w:rsidP="00AB4615">
      <w:pPr>
        <w:numPr>
          <w:ilvl w:val="0"/>
          <w:numId w:val="2"/>
        </w:num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ind w:left="0" w:firstLine="0"/>
        <w:jc w:val="both"/>
        <w:rPr>
          <w:rFonts w:ascii="Times New Roman" w:hAnsi="Times New Roman" w:cs="Times New Roman"/>
          <w:sz w:val="20"/>
          <w:szCs w:val="20"/>
          <w:lang w:val="x-none" w:eastAsia="x-none"/>
        </w:rPr>
      </w:pPr>
      <w:r w:rsidRPr="006C1DF8">
        <w:rPr>
          <w:sz w:val="20"/>
          <w:lang w:bidi="uk-UA"/>
        </w:rPr>
        <w:t>Право подати клопотання про доставку на судове засідання, якщо обвинувачений позбавлений волі, а його присутність на судовому засіданні не є обов'язковою. Клопотання має бути подано протягом 7 днів з дати вручення повідомлення (ст. 353 § 3).</w:t>
      </w:r>
    </w:p>
    <w:p w14:paraId="3F2837D9" w14:textId="77777777" w:rsidR="006C1DF8" w:rsidRPr="006C1DF8" w:rsidRDefault="006C1DF8" w:rsidP="00AB4615">
      <w:pPr>
        <w:numPr>
          <w:ilvl w:val="0"/>
          <w:numId w:val="2"/>
        </w:num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ind w:left="0" w:firstLine="0"/>
        <w:jc w:val="both"/>
        <w:rPr>
          <w:rFonts w:ascii="Times New Roman" w:hAnsi="Times New Roman" w:cs="Times New Roman"/>
          <w:sz w:val="20"/>
          <w:szCs w:val="20"/>
          <w:lang w:val="x-none" w:eastAsia="x-none"/>
        </w:rPr>
      </w:pPr>
      <w:r w:rsidRPr="006C1DF8">
        <w:rPr>
          <w:sz w:val="20"/>
          <w:lang w:bidi="uk-UA"/>
        </w:rPr>
        <w:t>Право подати клопотання про винесення обвинувального вироку та призначення певного покарання або кримінально-правового заходу, рішення про конфіскацію або компенсаційний захід без проведення доказового провадження або винесення певного рішення щодо покриття витрат судового процесу. Обвинувачений може скористатися цим правом до вручення повідомлення про дату судового засідання (ст. 338а).</w:t>
      </w:r>
    </w:p>
    <w:p w14:paraId="04F363DD" w14:textId="77777777" w:rsidR="006C1DF8" w:rsidRPr="006C1DF8" w:rsidRDefault="006C1DF8" w:rsidP="00AB4615">
      <w:pPr>
        <w:numPr>
          <w:ilvl w:val="0"/>
          <w:numId w:val="3"/>
        </w:num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ind w:left="0" w:firstLine="0"/>
        <w:jc w:val="both"/>
        <w:rPr>
          <w:rFonts w:ascii="Times New Roman" w:hAnsi="Times New Roman" w:cs="Times New Roman"/>
          <w:sz w:val="20"/>
          <w:szCs w:val="20"/>
          <w:lang w:val="x-none" w:eastAsia="x-none"/>
        </w:rPr>
      </w:pPr>
      <w:r w:rsidRPr="006C1DF8">
        <w:rPr>
          <w:sz w:val="20"/>
          <w:lang w:bidi="uk-UA"/>
        </w:rPr>
        <w:t>Право на участь у судовому засіданні, якщо суд не визнає присутність обвинуваченого обов'язковою. У справах про злочини обов'язковою є присутність обвинуваченого під час висунення обвинувачень, відповіді на обвинувальний акт, якщо вона була подана, інформування про права та обов'язки, а також запитання, чи визнає обвинувачений інкриміноване йому діяння. Голова може видати розпорядження, щоб унеможливити залишення підсудним суду до закінчення судового засідання (ст. 374). Судове засідання не проводиться, якщо обвинувачений не з'явився, і немає доказів, що він був про нього повідомлений, а також якщо є обґрунтовані підстави вважати, що неявка була спричинена стихійними лихами або іншими винятковими обставинами. Судовий розгляд також може не проводитися, якщо обвинувачений належним чином обґрунтує свою неявку і подасть клопотання про непроведення судового розгляду без його присутності (ст. 117 § 2). Обґрунтування неявки через хворобу обвинуваченого, присутність якого була обов'язковою або який подав клопотання про допуск до процедури, маючи право брати в ній участь, вимагає подання довідки, що підтверджує неможливість з'явитися на виклик органу, що проводить провадження, виданої судовим лікарем (ст. 117 § 2а). У разі необґрунтованої неявки обвинуваченого, присутність якого є обов'язковою, буде призначено його негайне затримання та доставку (ст. 382). Неявка обвинуваченого, який був належним чином повідомлений про процесуальну дію, незалежно від її причини, не перешкоджає проведенню цієї дії, якщо з'явився його захисник, за умови, що участь обвинуваченого не була обов'язковою (ст. 117 § 3а).</w:t>
      </w:r>
    </w:p>
    <w:p w14:paraId="084ADB92" w14:textId="77777777" w:rsidR="006C1DF8" w:rsidRPr="006C1DF8" w:rsidRDefault="006C1DF8" w:rsidP="00AB4615">
      <w:pPr>
        <w:numPr>
          <w:ilvl w:val="0"/>
          <w:numId w:val="2"/>
        </w:num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ind w:left="0" w:firstLine="0"/>
        <w:jc w:val="both"/>
        <w:rPr>
          <w:rFonts w:ascii="Times New Roman" w:hAnsi="Times New Roman" w:cs="Times New Roman"/>
          <w:sz w:val="20"/>
          <w:szCs w:val="20"/>
          <w:lang w:val="x-none" w:eastAsia="x-none"/>
        </w:rPr>
      </w:pPr>
      <w:r w:rsidRPr="006C1DF8">
        <w:rPr>
          <w:sz w:val="20"/>
          <w:lang w:bidi="uk-UA"/>
        </w:rPr>
        <w:lastRenderedPageBreak/>
        <w:t>Право на безкоштовну допомогу перекладача, якщо особа не володіє польською мовою в достатній мірі (ст. 72 § 1).</w:t>
      </w:r>
    </w:p>
    <w:p w14:paraId="3AD6320D" w14:textId="77777777" w:rsidR="006C1DF8" w:rsidRPr="006C1DF8" w:rsidRDefault="006C1DF8" w:rsidP="00AB4615">
      <w:pPr>
        <w:numPr>
          <w:ilvl w:val="0"/>
          <w:numId w:val="2"/>
        </w:num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ind w:left="0" w:firstLine="0"/>
        <w:jc w:val="both"/>
        <w:rPr>
          <w:rFonts w:ascii="Times New Roman" w:hAnsi="Times New Roman" w:cs="Times New Roman"/>
          <w:sz w:val="20"/>
          <w:szCs w:val="20"/>
          <w:lang w:val="x-none" w:eastAsia="x-none"/>
        </w:rPr>
      </w:pPr>
      <w:r w:rsidRPr="006C1DF8">
        <w:rPr>
          <w:sz w:val="20"/>
          <w:lang w:bidi="uk-UA"/>
        </w:rPr>
        <w:t>Право подати клопотання про винесення обвинувального вироку та призначення певного покарання або кримінально-правового заходу, рішення про конфіскацію або компенсаційний захід без проведення доказового провадження або винесення певного рішення щодо покриття витрат судового процесу. Суд може задовольнити клопотання про ухвалення обвинувального вироку, якщо обставини злочину та вина не викликають сумнівів, а цілі провадження будуть досягнуті, незважаючи на непроведення повного судового розгляду; задоволення клопотання можливе лише за умови, що прокурор не заперечує проти цього, а також якщо потерпілий належним чином повідомлений про дату судового розгляду та проінструктований про можливість подання обвинуваченим такого клопотання. Суд може поставити розгляд клопотання обвинуваченого в залежність від внесення до нього зазначених ним змін. У справах про надзвичайні злочини пом'якшення покарання може відбутися тільки в тому випадку, якщо клопотання було подано до вручення обвинуваченому повідомлення про дату судового засідання. Клопотання про винесення обвинувального вироку та призначення певного покарання або кримінально-правового заходу, рішення про конфіскацію або компенсаційний захід без проведення доказового провадження або винесення певного рішення щодо покриття витрат судового процесу може бути подано до закінчення першого допиту всіх обвинувачених (ст. 387 § 1, перше та друге речення, § 2 та § 3).</w:t>
      </w:r>
    </w:p>
    <w:p w14:paraId="464AF789" w14:textId="77777777" w:rsidR="006C1DF8" w:rsidRPr="006C1DF8" w:rsidRDefault="006C1DF8" w:rsidP="00AB4615">
      <w:pPr>
        <w:numPr>
          <w:ilvl w:val="0"/>
          <w:numId w:val="2"/>
        </w:numPr>
        <w:tabs>
          <w:tab w:val="left" w:pos="284"/>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autoSpaceDE w:val="0"/>
        <w:autoSpaceDN w:val="0"/>
        <w:adjustRightInd w:val="0"/>
        <w:spacing w:after="0" w:line="240" w:lineRule="auto"/>
        <w:ind w:left="0" w:firstLine="0"/>
        <w:jc w:val="both"/>
        <w:rPr>
          <w:rFonts w:ascii="Times New Roman" w:hAnsi="Times New Roman" w:cs="Times New Roman"/>
          <w:color w:val="000000"/>
          <w:sz w:val="20"/>
          <w:szCs w:val="20"/>
          <w:lang w:val="x-none" w:eastAsia="x-none"/>
        </w:rPr>
      </w:pPr>
      <w:r w:rsidRPr="006C1DF8">
        <w:rPr>
          <w:sz w:val="20"/>
          <w:lang w:bidi="uk-UA"/>
        </w:rPr>
        <w:t>Право подати клопотання про направлення справи на процедуру медіації з метою примирення з потерпілою стороною (ст. 23а). Участь у медіаційному процесі є добровільною. Позитивні результати проведеної медіації враховуються судом при призначенні покарання (ст. 53 § 3 Закону від 6 червня 1997 р. - Кримінальний кодекс, «Закон. Вісник» від 2018 р., поз. 1600, зі змінами та доповненнями),</w:t>
      </w:r>
    </w:p>
    <w:p w14:paraId="4507224E" w14:textId="77777777" w:rsidR="006C1DF8" w:rsidRPr="006C1DF8" w:rsidRDefault="006C1DF8" w:rsidP="00AB4615">
      <w:pPr>
        <w:numPr>
          <w:ilvl w:val="0"/>
          <w:numId w:val="2"/>
        </w:numPr>
        <w:tabs>
          <w:tab w:val="left" w:pos="284"/>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autoSpaceDE w:val="0"/>
        <w:autoSpaceDN w:val="0"/>
        <w:adjustRightInd w:val="0"/>
        <w:spacing w:after="0" w:line="240" w:lineRule="auto"/>
        <w:ind w:left="0" w:firstLine="0"/>
        <w:jc w:val="both"/>
        <w:rPr>
          <w:rFonts w:ascii="Times New Roman" w:eastAsia="Times New Roman" w:hAnsi="Times New Roman" w:cs="Times New Roman"/>
          <w:color w:val="000000"/>
          <w:sz w:val="20"/>
          <w:szCs w:val="20"/>
          <w:lang w:val="x-none" w:eastAsia="x-none"/>
        </w:rPr>
      </w:pPr>
      <w:r w:rsidRPr="006C1DF8">
        <w:rPr>
          <w:sz w:val="20"/>
          <w:lang w:bidi="uk-UA"/>
        </w:rPr>
        <w:t>Право на доступ до матеріалів справи, на складання витягів та копій (ст. 156 § 1-3).</w:t>
      </w:r>
    </w:p>
    <w:p w14:paraId="3DBBD484" w14:textId="10542B4C" w:rsidR="006C1DF8" w:rsidRPr="006C1DF8" w:rsidRDefault="006C1DF8" w:rsidP="00AB4615">
      <w:pPr>
        <w:numPr>
          <w:ilvl w:val="0"/>
          <w:numId w:val="3"/>
        </w:numPr>
        <w:tabs>
          <w:tab w:val="left" w:pos="284"/>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autoSpaceDE w:val="0"/>
        <w:autoSpaceDN w:val="0"/>
        <w:adjustRightInd w:val="0"/>
        <w:spacing w:after="0" w:line="240" w:lineRule="auto"/>
        <w:ind w:left="0" w:firstLine="0"/>
        <w:jc w:val="both"/>
        <w:rPr>
          <w:rFonts w:ascii="Times New Roman" w:hAnsi="Times New Roman" w:cs="Times New Roman"/>
          <w:color w:val="000000"/>
          <w:sz w:val="20"/>
          <w:szCs w:val="20"/>
          <w:lang w:val="x-none" w:eastAsia="x-none"/>
        </w:rPr>
      </w:pPr>
      <w:r w:rsidRPr="006C1DF8">
        <w:rPr>
          <w:sz w:val="20"/>
          <w:lang w:bidi="uk-UA"/>
        </w:rPr>
        <w:t xml:space="preserve">Право подати протягом 7 днів з дати оголошення вироку клопотання про складання в письмовій формі та вручення обґрунтування вироку. Складання обґрунтування з ініціативи державного органу не звільняє від подання клопотання про вручення обґрунтування. Клопотання подається в письмовій формі. У клопотанні слід вказати, чи стосується воно всього вироку, чи деяких діянь, у вчиненні яких звинувачується особа, чи лише рішення про покарання та інші правові наслідки діяння. Для обвинуваченого, позбавленого волі, який не має захисника і - незважаючи на подання клопотання про доставку його на засідання, на якому було оголошено вирок - не був присутній під час оголошення вироку, строк для подання клопотання про складання в письмовій формі та вручення обґрунтування вироку відраховується від дати вручення йому вироку. Заява, подана неуповноваженою особою, після закінчення строку або у разі неподання необхідних документів у встановлений строк (ст. 422 § 1-3). </w:t>
      </w:r>
    </w:p>
    <w:p w14:paraId="1CE67A0F" w14:textId="77777777" w:rsidR="006C1DF8" w:rsidRPr="006C1DF8" w:rsidRDefault="006C1DF8" w:rsidP="00AB4615">
      <w:pPr>
        <w:widowControl w:val="0"/>
        <w:tabs>
          <w:tab w:val="left" w:pos="284"/>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autoSpaceDE w:val="0"/>
        <w:autoSpaceDN w:val="0"/>
        <w:adjustRightInd w:val="0"/>
        <w:spacing w:after="0" w:line="240" w:lineRule="auto"/>
        <w:jc w:val="both"/>
        <w:rPr>
          <w:rFonts w:ascii="Times New Roman" w:eastAsia="Times New Roman" w:hAnsi="Times New Roman" w:cs="Times New Roman"/>
          <w:b/>
          <w:bCs/>
          <w:color w:val="000000"/>
          <w:sz w:val="20"/>
          <w:szCs w:val="20"/>
          <w:lang w:val="x-none" w:eastAsia="x-none"/>
        </w:rPr>
      </w:pPr>
      <w:r w:rsidRPr="006C1DF8">
        <w:rPr>
          <w:b/>
          <w:sz w:val="20"/>
          <w:lang w:bidi="uk-UA"/>
        </w:rPr>
        <w:t>Кримінальне провадження може проводитися без участі обвинуваченого, присутність якого є обов'язковою, якщо обвинувачений:</w:t>
      </w:r>
    </w:p>
    <w:p w14:paraId="50E55E1A" w14:textId="77777777" w:rsidR="006C1DF8" w:rsidRPr="006C1DF8" w:rsidRDefault="006C1DF8" w:rsidP="00AB4615">
      <w:pPr>
        <w:numPr>
          <w:ilvl w:val="0"/>
          <w:numId w:val="4"/>
        </w:num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firstLine="0"/>
        <w:jc w:val="both"/>
        <w:rPr>
          <w:rFonts w:ascii="Times New Roman" w:eastAsia="Times New Roman" w:hAnsi="Times New Roman" w:cs="Times New Roman"/>
          <w:color w:val="000000"/>
          <w:sz w:val="20"/>
          <w:szCs w:val="20"/>
          <w:lang w:val="x-none" w:eastAsia="x-none"/>
        </w:rPr>
      </w:pPr>
      <w:r w:rsidRPr="006C1DF8">
        <w:rPr>
          <w:sz w:val="20"/>
          <w:lang w:bidi="uk-UA"/>
        </w:rPr>
        <w:t xml:space="preserve">з власної вини нездатний брати участь у судовому слуханні або засіданні; не є перешкодою для проведення провадження, якщо обвинувачений до цього часу не надав показань; перед винесенням ухвали з цього питання суд ознайомлюється з довідкою лікаря, який встановив стан такої недієздатності, або допитує його як експерта. Стан, що унеможливлює участь обвинуваченого у судовому засіданні, може бути встановлений також на підставі обстеження, не пов'язаного з порушенням цілісності тіла, проведеного за допомогою відповідного обладнання (ст. 377 § 1 і § 2); </w:t>
      </w:r>
    </w:p>
    <w:p w14:paraId="0A57DE52" w14:textId="77777777" w:rsidR="006C1DF8" w:rsidRPr="006C1DF8" w:rsidRDefault="006C1DF8" w:rsidP="00AB4615">
      <w:pPr>
        <w:numPr>
          <w:ilvl w:val="0"/>
          <w:numId w:val="4"/>
        </w:num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firstLine="0"/>
        <w:jc w:val="both"/>
        <w:rPr>
          <w:rFonts w:ascii="Times New Roman" w:eastAsia="Times New Roman" w:hAnsi="Times New Roman" w:cs="Times New Roman"/>
          <w:color w:val="000000"/>
          <w:sz w:val="20"/>
          <w:szCs w:val="20"/>
          <w:lang w:val="x-none" w:eastAsia="x-none"/>
        </w:rPr>
      </w:pPr>
      <w:r w:rsidRPr="006C1DF8">
        <w:rPr>
          <w:sz w:val="20"/>
          <w:lang w:bidi="uk-UA"/>
        </w:rPr>
        <w:t>був належним чином повідомлений про дату судового засідання, але заявляє, що не братиме участі в судовому засіданні, унеможливлює доставку на судове засідання або, будучи повідомлений особисто про судовий розгляд або засідання, не з'являється на судовий розгляд або засідання без поважної причини; однак в цьому випадку судом може бути винесено рішення про затримання та примусове доставлення обвинуваченого (ст. 377 § 3);</w:t>
      </w:r>
    </w:p>
    <w:p w14:paraId="67F89F37" w14:textId="77777777" w:rsidR="006C1DF8" w:rsidRPr="006C1DF8" w:rsidRDefault="006C1DF8" w:rsidP="00AB4615">
      <w:pPr>
        <w:numPr>
          <w:ilvl w:val="0"/>
          <w:numId w:val="4"/>
        </w:num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firstLine="0"/>
        <w:jc w:val="both"/>
        <w:rPr>
          <w:rFonts w:ascii="Times New Roman" w:eastAsia="Times New Roman" w:hAnsi="Times New Roman" w:cs="Times New Roman"/>
          <w:color w:val="000000"/>
          <w:sz w:val="20"/>
          <w:szCs w:val="20"/>
          <w:lang w:val="x-none" w:eastAsia="x-none"/>
        </w:rPr>
      </w:pPr>
      <w:r w:rsidRPr="006C1DF8">
        <w:rPr>
          <w:sz w:val="20"/>
          <w:lang w:bidi="uk-UA"/>
        </w:rPr>
        <w:t>вже дав показання і покинув зал судового засідання без дозволу голови, якщо суд не визнав його присутність обов'язковою і не постановив затримання та примусове доставлення (ст. 376 § 1, перше та друге речення);</w:t>
      </w:r>
    </w:p>
    <w:p w14:paraId="4801005C" w14:textId="77777777" w:rsidR="006C1DF8" w:rsidRPr="006C1DF8" w:rsidRDefault="006C1DF8" w:rsidP="00AB4615">
      <w:pPr>
        <w:numPr>
          <w:ilvl w:val="0"/>
          <w:numId w:val="4"/>
        </w:num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firstLine="0"/>
        <w:jc w:val="both"/>
        <w:rPr>
          <w:rFonts w:ascii="Times New Roman" w:eastAsia="Times New Roman" w:hAnsi="Times New Roman" w:cs="Times New Roman"/>
          <w:color w:val="000000"/>
          <w:sz w:val="20"/>
          <w:szCs w:val="20"/>
          <w:lang w:val="x-none" w:eastAsia="x-none"/>
        </w:rPr>
      </w:pPr>
      <w:r w:rsidRPr="006C1DF8">
        <w:rPr>
          <w:sz w:val="20"/>
          <w:lang w:bidi="uk-UA"/>
        </w:rPr>
        <w:t xml:space="preserve">був повідомлений про дату відкладеного або перерваного засідання, але не з'явився на це засідання без поважної причини, якщо суд не визнав його присутність обов'язковою і не постановив затримання та примусове доставлення (ст. 376 § 2). </w:t>
      </w:r>
    </w:p>
    <w:p w14:paraId="69779B2B" w14:textId="77777777" w:rsidR="006C1DF8" w:rsidRPr="006C1DF8" w:rsidRDefault="006C1DF8" w:rsidP="00AB4615">
      <w:pPr>
        <w:widowControl w:val="0"/>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jc w:val="both"/>
        <w:rPr>
          <w:rFonts w:ascii="Times New Roman" w:hAnsi="Times New Roman" w:cs="Times New Roman"/>
          <w:color w:val="000000"/>
          <w:sz w:val="20"/>
          <w:szCs w:val="20"/>
          <w:lang w:val="x-none" w:eastAsia="x-none"/>
        </w:rPr>
      </w:pPr>
      <w:r w:rsidRPr="006C1DF8">
        <w:rPr>
          <w:sz w:val="20"/>
          <w:lang w:bidi="uk-UA"/>
        </w:rPr>
        <w:t>Якщо на відкладене або перерване засідання не з'явився співвідповідач, який обґрунтував свою неявку, суд може проводити засідання в частині, що не стосується безпосередньо відсутнього обвинуваченого, якщо це не обмежує його права на захист (ст. 376 § 3).</w:t>
      </w:r>
    </w:p>
    <w:p w14:paraId="2C88A0FB" w14:textId="77777777" w:rsidR="006C1DF8" w:rsidRPr="006C1DF8" w:rsidRDefault="006C1DF8" w:rsidP="00AB4615">
      <w:pPr>
        <w:widowControl w:val="0"/>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jc w:val="both"/>
        <w:rPr>
          <w:rFonts w:ascii="Times New Roman" w:eastAsia="Times New Roman" w:hAnsi="Times New Roman" w:cs="Times New Roman"/>
          <w:color w:val="000000"/>
          <w:sz w:val="20"/>
          <w:szCs w:val="20"/>
          <w:lang w:val="x-none" w:eastAsia="x-none"/>
        </w:rPr>
      </w:pPr>
      <w:r w:rsidRPr="006C1DF8">
        <w:rPr>
          <w:sz w:val="20"/>
          <w:lang w:bidi="uk-UA"/>
        </w:rPr>
        <w:t xml:space="preserve">Обвинувачений, який ще не дав показань перед судом, може бути допитаний призначеним суддею або судом, в окрузі якого він перебуває, якщо він не з'явився через перешкоди, які надто важко усунути; суд може також визнати достатнім зачитання раніше наданих показань обвинуваченим. Допит </w:t>
      </w:r>
      <w:r w:rsidRPr="006C1DF8">
        <w:rPr>
          <w:sz w:val="20"/>
          <w:lang w:bidi="uk-UA"/>
        </w:rPr>
        <w:lastRenderedPageBreak/>
        <w:t>обвинуваченого може бути проведений за допомогою відеоконференції (ст. 377 § 4).</w:t>
      </w:r>
    </w:p>
    <w:p w14:paraId="63B5B18B" w14:textId="77777777" w:rsidR="006C1DF8" w:rsidRPr="006C1DF8" w:rsidRDefault="006C1DF8" w:rsidP="00AB4615">
      <w:pPr>
        <w:tabs>
          <w:tab w:val="left" w:pos="284"/>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autoSpaceDE w:val="0"/>
        <w:autoSpaceDN w:val="0"/>
        <w:adjustRightInd w:val="0"/>
        <w:spacing w:after="0" w:line="240" w:lineRule="auto"/>
        <w:jc w:val="both"/>
        <w:rPr>
          <w:rFonts w:ascii="Times New Roman" w:hAnsi="Times New Roman" w:cs="Times New Roman"/>
          <w:color w:val="000000"/>
          <w:sz w:val="20"/>
          <w:szCs w:val="20"/>
          <w:lang w:val="x-none" w:eastAsia="x-none"/>
        </w:rPr>
      </w:pPr>
      <w:r w:rsidRPr="006C1DF8">
        <w:rPr>
          <w:b/>
          <w:sz w:val="20"/>
          <w:lang w:bidi="uk-UA"/>
        </w:rPr>
        <w:t>Обвинувачений не зобов'язаний доводити свою невинність або надавати докази проти себе (ст. 74 § 1). Однак він зобов'язаний пройти:</w:t>
      </w:r>
    </w:p>
    <w:p w14:paraId="4C691423" w14:textId="77777777" w:rsidR="006C1DF8" w:rsidRPr="006C1DF8" w:rsidRDefault="006C1DF8" w:rsidP="00AB4615">
      <w:p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jc w:val="both"/>
        <w:rPr>
          <w:rFonts w:ascii="Times New Roman" w:eastAsia="Times New Roman" w:hAnsi="Times New Roman" w:cs="Times New Roman"/>
          <w:color w:val="000000"/>
          <w:sz w:val="20"/>
          <w:szCs w:val="20"/>
          <w:lang w:val="x-none" w:eastAsia="x-none"/>
        </w:rPr>
      </w:pPr>
      <w:r w:rsidRPr="006C1DF8">
        <w:rPr>
          <w:sz w:val="20"/>
          <w:lang w:bidi="uk-UA"/>
        </w:rPr>
        <w:t>1) огляд тіла та обстеження, що не пов'язані з порушенням тілесної цілісності, зняття відбитків пальців, фотографування та пред'явлення іншим особам (ст. 74 § 2 п. 1);</w:t>
      </w:r>
    </w:p>
    <w:p w14:paraId="7636591B" w14:textId="77777777" w:rsidR="006C1DF8" w:rsidRPr="006C1DF8" w:rsidRDefault="006C1DF8" w:rsidP="00AB4615">
      <w:p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jc w:val="both"/>
        <w:rPr>
          <w:rFonts w:ascii="Times New Roman" w:eastAsia="Times New Roman" w:hAnsi="Times New Roman" w:cs="Times New Roman"/>
          <w:color w:val="000000"/>
          <w:sz w:val="20"/>
          <w:szCs w:val="20"/>
          <w:lang w:val="x-none" w:eastAsia="x-none"/>
        </w:rPr>
      </w:pPr>
      <w:r w:rsidRPr="006C1DF8">
        <w:rPr>
          <w:sz w:val="20"/>
          <w:lang w:bidi="uk-UA"/>
        </w:rPr>
        <w:t>2) психологічні та психіатричні обстеження, а також обстеження, пов'язані з проведенням процедур на тілі, за винятком хірургічних втручань, за умови, що це не загрожує здоров'ю, якщо проведення таких обстежень є необхідним (зокрема, взяття крові, волосся або виділень організму, наприклад, слини); дослідження повинні проводитися уповноваженим на це працівником служби охорони здоров'я (ст. 74 § 2 п. 2);</w:t>
      </w:r>
    </w:p>
    <w:p w14:paraId="1E054B36" w14:textId="41C38923" w:rsidR="006C1DF8" w:rsidRPr="006C1DF8" w:rsidRDefault="006C1DF8" w:rsidP="00AB4615">
      <w:p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jc w:val="both"/>
        <w:rPr>
          <w:rFonts w:ascii="Times New Roman" w:eastAsia="Times New Roman" w:hAnsi="Times New Roman" w:cs="Times New Roman"/>
          <w:color w:val="000000"/>
          <w:sz w:val="20"/>
          <w:szCs w:val="20"/>
          <w:lang w:val="x-none" w:eastAsia="x-none"/>
        </w:rPr>
      </w:pPr>
      <w:r w:rsidRPr="006C1DF8">
        <w:rPr>
          <w:sz w:val="20"/>
          <w:lang w:bidi="uk-UA"/>
        </w:rPr>
        <w:t>3) забір поліцейським мазка зі слизової оболонки щік, якщо це необхідно і не загрожує здоров'ю (ст. 74 § 2 п. 3).</w:t>
      </w:r>
    </w:p>
    <w:p w14:paraId="4C230765" w14:textId="77777777" w:rsidR="006C1DF8" w:rsidRPr="006C1DF8" w:rsidRDefault="006C1DF8" w:rsidP="00AB4615">
      <w:p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jc w:val="both"/>
        <w:rPr>
          <w:rFonts w:ascii="Times New Roman" w:eastAsia="Times New Roman" w:hAnsi="Times New Roman" w:cs="Times New Roman"/>
          <w:color w:val="000000"/>
          <w:sz w:val="20"/>
          <w:szCs w:val="20"/>
          <w:lang w:val="x-none" w:eastAsia="x-none"/>
        </w:rPr>
      </w:pPr>
    </w:p>
    <w:p w14:paraId="76DF910B" w14:textId="77777777" w:rsidR="006C1DF8" w:rsidRPr="006C1DF8" w:rsidRDefault="006C1DF8" w:rsidP="00AB461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Times New Roman" w:hAnsi="Times New Roman" w:cs="Times New Roman"/>
          <w:color w:val="000000"/>
          <w:sz w:val="20"/>
          <w:szCs w:val="20"/>
          <w:lang w:val="x-none" w:eastAsia="x-none"/>
        </w:rPr>
      </w:pPr>
      <w:r w:rsidRPr="006C1DF8">
        <w:rPr>
          <w:sz w:val="20"/>
          <w:lang w:bidi="uk-UA"/>
        </w:rPr>
        <w:t>Невиконання цих обов'язків може призвести до затримання та примусового доставлення обвинуваченого, а також до застосування до нього в необхідному обсязі фізичної сили або технічних засобів для знешкодження (ст. 74 § 3а).</w:t>
      </w:r>
    </w:p>
    <w:p w14:paraId="2DCBE6D8" w14:textId="77777777" w:rsidR="006C1DF8" w:rsidRPr="006C1DF8" w:rsidRDefault="006C1DF8" w:rsidP="00AB461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Times New Roman" w:hAnsi="Times New Roman" w:cs="Times New Roman"/>
          <w:b/>
          <w:bCs/>
          <w:color w:val="000000"/>
          <w:sz w:val="20"/>
          <w:szCs w:val="20"/>
          <w:lang w:val="x-none" w:eastAsia="x-none"/>
        </w:rPr>
      </w:pPr>
      <w:r w:rsidRPr="006C1DF8">
        <w:rPr>
          <w:b/>
          <w:sz w:val="20"/>
          <w:lang w:bidi="uk-UA"/>
        </w:rPr>
        <w:t>Обвинувачений також зобов'язаний:</w:t>
      </w:r>
    </w:p>
    <w:p w14:paraId="0263CAF5" w14:textId="77777777" w:rsidR="006C1DF8" w:rsidRPr="006C1DF8" w:rsidRDefault="006C1DF8" w:rsidP="00AB4615">
      <w:pPr>
        <w:numPr>
          <w:ilvl w:val="0"/>
          <w:numId w:val="5"/>
        </w:num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firstLine="0"/>
        <w:jc w:val="both"/>
        <w:rPr>
          <w:rFonts w:ascii="Times New Roman" w:eastAsia="Times New Roman" w:hAnsi="Times New Roman" w:cs="Times New Roman"/>
          <w:color w:val="000000"/>
          <w:sz w:val="20"/>
          <w:szCs w:val="20"/>
          <w:lang w:val="x-none" w:eastAsia="x-none"/>
        </w:rPr>
      </w:pPr>
      <w:r w:rsidRPr="006C1DF8">
        <w:rPr>
          <w:sz w:val="20"/>
          <w:lang w:bidi="uk-UA"/>
        </w:rPr>
        <w:t>з'являтися на кожен виклик і повідомляти суд про кожну зміну місця проживання або перебування, що триває довше 7 днів, у тому числі через позбавлення волі в іншій справі; у разі неявки обвинувачений може бути затриманий і приведений примусово (ст. 75 § 1 і § 2);</w:t>
      </w:r>
    </w:p>
    <w:p w14:paraId="496DCE5A" w14:textId="77777777" w:rsidR="006C1DF8" w:rsidRPr="006C1DF8" w:rsidRDefault="006C1DF8" w:rsidP="00AB4615">
      <w:pPr>
        <w:numPr>
          <w:ilvl w:val="0"/>
          <w:numId w:val="5"/>
        </w:num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firstLine="0"/>
        <w:jc w:val="both"/>
        <w:rPr>
          <w:rFonts w:ascii="Times New Roman" w:eastAsia="Times New Roman" w:hAnsi="Times New Roman" w:cs="Times New Roman"/>
          <w:color w:val="000000"/>
          <w:sz w:val="20"/>
          <w:szCs w:val="20"/>
          <w:lang w:val="x-none" w:eastAsia="x-none"/>
        </w:rPr>
      </w:pPr>
      <w:r w:rsidRPr="006C1DF8">
        <w:rPr>
          <w:sz w:val="20"/>
          <w:lang w:bidi="uk-UA"/>
        </w:rPr>
        <w:t>вказати адресу, на яку буде надсилатися кореспонденція, в тому числі це може бути адреса поштової скриньки (ст. 132 § 1 та § 2); в іншому випадку дію або розгляд справи буде проведено за відсутності обвинуваченого; неподання адреси може також унеможливити подання клопотання, скарги або апеляції через закінчення строків (ст. 133 § 2);</w:t>
      </w:r>
    </w:p>
    <w:p w14:paraId="14923921" w14:textId="77777777" w:rsidR="006C1DF8" w:rsidRPr="006C1DF8" w:rsidRDefault="006C1DF8" w:rsidP="00AB4615">
      <w:pPr>
        <w:numPr>
          <w:ilvl w:val="0"/>
          <w:numId w:val="5"/>
        </w:num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firstLine="0"/>
        <w:jc w:val="both"/>
        <w:rPr>
          <w:rFonts w:ascii="Times New Roman" w:eastAsia="Times New Roman" w:hAnsi="Times New Roman" w:cs="Times New Roman"/>
          <w:color w:val="000000"/>
          <w:sz w:val="20"/>
          <w:szCs w:val="20"/>
          <w:lang w:val="x-none" w:eastAsia="x-none"/>
        </w:rPr>
      </w:pPr>
      <w:r w:rsidRPr="006C1DF8">
        <w:rPr>
          <w:sz w:val="20"/>
          <w:lang w:bidi="uk-UA"/>
        </w:rPr>
        <w:t>вказати адресата для вручення документів у країні або в іншій державі-члені Європейського Союзу, коли він не перебуває в країні або в іншій державі-члені Європейського Союзу; в іншому випадку лист, надісланий на останню відому адресу в країні або в іншій державі-члені Європейського Союзу, буде вважатися успішно доставленим, а дію або розгляд справи буде проведено за відсутності обвинуваченого; неподання адреси може також унеможливити подання клопотання, скарги або апеляції через закінчення строків (ст. 138);</w:t>
      </w:r>
    </w:p>
    <w:p w14:paraId="48A656B8" w14:textId="77777777" w:rsidR="006C1DF8" w:rsidRPr="006C1DF8" w:rsidRDefault="006C1DF8" w:rsidP="00AB4615">
      <w:pPr>
        <w:numPr>
          <w:ilvl w:val="0"/>
          <w:numId w:val="5"/>
        </w:num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firstLine="0"/>
        <w:jc w:val="both"/>
        <w:rPr>
          <w:rFonts w:ascii="Times New Roman" w:hAnsi="Times New Roman" w:cs="Times New Roman"/>
          <w:color w:val="000000"/>
          <w:sz w:val="20"/>
          <w:szCs w:val="20"/>
          <w:lang w:val="x-none" w:eastAsia="x-none"/>
        </w:rPr>
      </w:pPr>
      <w:r w:rsidRPr="006C1DF8">
        <w:rPr>
          <w:sz w:val="20"/>
          <w:lang w:bidi="uk-UA"/>
        </w:rPr>
        <w:t>вказати нову адресу у разі зміни місця проживання або перебування, в тому числі через позбавлення волі в іншій справі; в іншому випадку лист, надісланий на попередню адресу, буде вважатися успішно доставленим, а дію або розгляд справи буде проведено за відсутності обвинуваченого; неподання адреси також може унеможливити подання клопотання, скарги або апеляції через закінчення строків; це стосується також обвинуваченого, який подав клопотання про доставку кореспонденції на адресу поштової скриньки і не повідомив орган про зміну цієї адреси або припинення її використання (ст. 139).</w:t>
      </w:r>
    </w:p>
    <w:p w14:paraId="30599F5F" w14:textId="77777777" w:rsidR="006C1DF8" w:rsidRPr="006C1DF8" w:rsidRDefault="006C1DF8" w:rsidP="00AB4615">
      <w:pPr>
        <w:tabs>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autoSpaceDE w:val="0"/>
        <w:autoSpaceDN w:val="0"/>
        <w:adjustRightInd w:val="0"/>
        <w:spacing w:after="0" w:line="240" w:lineRule="auto"/>
        <w:jc w:val="both"/>
        <w:rPr>
          <w:rFonts w:ascii="Times New Roman" w:eastAsia="Times New Roman" w:hAnsi="Times New Roman" w:cs="Times New Roman"/>
          <w:color w:val="000000"/>
          <w:sz w:val="20"/>
          <w:szCs w:val="20"/>
          <w:lang w:val="x-none" w:eastAsia="x-none"/>
        </w:rPr>
      </w:pPr>
      <w:r w:rsidRPr="006C1DF8">
        <w:rPr>
          <w:sz w:val="20"/>
          <w:lang w:bidi="uk-UA"/>
        </w:rPr>
        <w:t>Оголошення постанови про призначення дати судового засідання має ефект, рівнозначний виклику присутніх учасників процесу до участі в судовому засіданні або повідомленню про його дату (ст. 349 § 8).</w:t>
      </w:r>
    </w:p>
    <w:p w14:paraId="7943C0C5" w14:textId="77777777" w:rsidR="006C1DF8" w:rsidRPr="006C1DF8" w:rsidRDefault="006C1DF8" w:rsidP="00AB461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Verdana" w:hAnsi="Verdana" w:cs="Verdana"/>
          <w:color w:val="000000"/>
          <w:sz w:val="2"/>
          <w:szCs w:val="2"/>
          <w:lang w:val="x-none" w:eastAsia="x-none"/>
        </w:rPr>
      </w:pPr>
    </w:p>
    <w:p w14:paraId="37474DC9" w14:textId="77777777" w:rsidR="006C1DF8" w:rsidRPr="006C1DF8" w:rsidRDefault="006C1DF8" w:rsidP="00AB4615">
      <w:p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jc w:val="both"/>
        <w:rPr>
          <w:rFonts w:ascii="Times New Roman" w:eastAsia="Times New Roman" w:hAnsi="Times New Roman" w:cs="Times New Roman"/>
          <w:color w:val="000000"/>
          <w:sz w:val="20"/>
          <w:szCs w:val="20"/>
          <w:lang w:val="x-none" w:eastAsia="x-none"/>
        </w:rPr>
      </w:pPr>
      <w:r w:rsidRPr="006C1DF8">
        <w:rPr>
          <w:sz w:val="20"/>
          <w:lang w:bidi="uk-UA"/>
        </w:rPr>
        <w:t>У разі звинувачення обвинуваченого у вчиненні злочину, за який або у зв'язку з яким може бути призначено штраф, грошове стягнення, конфіскацію, компенсацію, повернення потерпілому або іншому уповноваженому суб'єкту майнової вигоди, яку злочинець отримав від вчиненого злочину, або її еквівалент, може відбуватися в порядку офіційного забезпечення виконання цього рішення щодо майна обвинуваченого або інших суб'єктів, зазначених у правових нормах, якщо існує обґрунтоване побоювання, що без такого забезпечення виконання рішення буде неможливим або значно ускладненим. З тих самих причин майно обвинуваченого може також бути заарештоване з метою забезпечення виконання рішення про судові витрати (ст. 291 § 1-3).</w:t>
      </w:r>
    </w:p>
    <w:p w14:paraId="457FFA8D" w14:textId="77777777" w:rsidR="006C1DF8" w:rsidRPr="006C1DF8" w:rsidRDefault="006C1DF8" w:rsidP="00AB4615">
      <w:p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jc w:val="both"/>
        <w:rPr>
          <w:rFonts w:ascii="Times New Roman" w:eastAsia="Times New Roman" w:hAnsi="Times New Roman" w:cs="Times New Roman"/>
          <w:color w:val="000000"/>
          <w:sz w:val="20"/>
          <w:szCs w:val="20"/>
          <w:lang w:val="x-none" w:eastAsia="x-none"/>
        </w:rPr>
      </w:pPr>
    </w:p>
    <w:p w14:paraId="59BBC797" w14:textId="77777777" w:rsidR="006C1DF8" w:rsidRPr="006C1DF8" w:rsidRDefault="006C1DF8" w:rsidP="00AB4615">
      <w:p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jc w:val="both"/>
        <w:rPr>
          <w:rFonts w:ascii="Times New Roman" w:eastAsia="Times New Roman" w:hAnsi="Times New Roman" w:cs="Times New Roman"/>
          <w:color w:val="000000"/>
          <w:sz w:val="20"/>
          <w:szCs w:val="20"/>
          <w:lang w:val="x-none" w:eastAsia="x-none"/>
        </w:rPr>
      </w:pPr>
    </w:p>
    <w:p w14:paraId="5B27A055" w14:textId="77777777" w:rsidR="006C1DF8" w:rsidRPr="00AB4615" w:rsidRDefault="006C1DF8" w:rsidP="00AB4615">
      <w:p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jc w:val="both"/>
        <w:rPr>
          <w:rFonts w:ascii="Times New Roman" w:hAnsi="Times New Roman" w:cs="Times New Roman"/>
          <w:color w:val="000000"/>
          <w:sz w:val="16"/>
          <w:szCs w:val="16"/>
          <w:lang w:val="x-none" w:eastAsia="x-none"/>
        </w:rPr>
      </w:pPr>
    </w:p>
    <w:p w14:paraId="1A3EB43F" w14:textId="77777777" w:rsidR="006C1DF8" w:rsidRPr="00AB4615" w:rsidRDefault="006C1DF8" w:rsidP="00AB4615">
      <w:p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jc w:val="both"/>
        <w:rPr>
          <w:rFonts w:ascii="Times New Roman" w:hAnsi="Times New Roman" w:cs="Times New Roman"/>
          <w:color w:val="000000"/>
          <w:sz w:val="16"/>
          <w:szCs w:val="16"/>
          <w:lang w:val="x-none" w:eastAsia="x-none"/>
        </w:rPr>
      </w:pPr>
    </w:p>
    <w:p w14:paraId="7295A6C8" w14:textId="77777777" w:rsidR="006C1DF8" w:rsidRPr="00AB4615" w:rsidRDefault="006C1DF8" w:rsidP="00AB4615">
      <w:pPr>
        <w:tabs>
          <w:tab w:val="left" w:pos="284"/>
          <w:tab w:val="left" w:pos="993"/>
          <w:tab w:val="left" w:pos="723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240" w:lineRule="auto"/>
        <w:jc w:val="both"/>
        <w:rPr>
          <w:rFonts w:ascii="Times New Roman" w:hAnsi="Times New Roman" w:cs="Times New Roman"/>
          <w:color w:val="000000"/>
          <w:sz w:val="16"/>
          <w:szCs w:val="16"/>
          <w:lang w:val="x-none" w:eastAsia="x-none"/>
        </w:rPr>
      </w:pPr>
    </w:p>
    <w:p w14:paraId="722C34F3" w14:textId="77777777" w:rsidR="006C1DF8" w:rsidRPr="00AB4615" w:rsidRDefault="006C1DF8" w:rsidP="00AB4615">
      <w:pPr>
        <w:widowControl w:val="0"/>
        <w:numPr>
          <w:ilvl w:val="0"/>
          <w:numId w:val="6"/>
        </w:numPr>
        <w:tabs>
          <w:tab w:val="left" w:pos="142"/>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firstLine="0"/>
        <w:rPr>
          <w:rFonts w:ascii="Times New Roman" w:eastAsia="Times New Roman" w:hAnsi="Times New Roman" w:cs="Times New Roman"/>
          <w:sz w:val="16"/>
          <w:szCs w:val="16"/>
          <w:lang w:val="x-none" w:eastAsia="x-none"/>
        </w:rPr>
      </w:pPr>
      <w:r w:rsidRPr="00AB4615">
        <w:rPr>
          <w:sz w:val="16"/>
          <w:lang w:bidi="uk-UA"/>
        </w:rPr>
        <w:t>необхідно вибрати відповідний варіант;</w:t>
      </w:r>
    </w:p>
    <w:p w14:paraId="24F83681" w14:textId="77777777" w:rsidR="006C1DF8" w:rsidRPr="00AB4615" w:rsidRDefault="006C1DF8" w:rsidP="00AB4615">
      <w:pPr>
        <w:widowControl w:val="0"/>
        <w:numPr>
          <w:ilvl w:val="0"/>
          <w:numId w:val="6"/>
        </w:numPr>
        <w:tabs>
          <w:tab w:val="left" w:pos="142"/>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firstLine="0"/>
        <w:rPr>
          <w:rFonts w:ascii="Times New Roman" w:hAnsi="Times New Roman" w:cs="Times New Roman"/>
          <w:sz w:val="16"/>
          <w:szCs w:val="16"/>
          <w:lang w:val="x-none" w:eastAsia="x-none"/>
        </w:rPr>
      </w:pPr>
      <w:r w:rsidRPr="00AB4615">
        <w:rPr>
          <w:sz w:val="16"/>
          <w:lang w:bidi="uk-UA"/>
        </w:rPr>
        <w:t>якщо не вказано іншої правової основи, положення в дужках означають відповідні статті закону від 6 червня 1997 р. - Кримінально-процесуальний кодекс («Закон. Вісник» від 2018 р., поз. 1987, зі змінами та доповненнями),</w:t>
      </w:r>
    </w:p>
    <w:p w14:paraId="614FBFD0" w14:textId="77777777" w:rsidR="006C1DF8" w:rsidRPr="00AB4615" w:rsidRDefault="006C1DF8" w:rsidP="00AB4615">
      <w:pPr>
        <w:widowControl w:val="0"/>
        <w:tabs>
          <w:tab w:val="left" w:pos="850"/>
          <w:tab w:val="left" w:pos="1700"/>
          <w:tab w:val="left" w:pos="2550"/>
          <w:tab w:val="left" w:pos="3400"/>
          <w:tab w:val="left" w:pos="4250"/>
          <w:tab w:val="left" w:pos="5100"/>
          <w:tab w:val="left" w:pos="5950"/>
          <w:tab w:val="left" w:pos="6800"/>
          <w:tab w:val="left" w:pos="7650"/>
          <w:tab w:val="left" w:pos="8500"/>
          <w:tab w:val="left" w:pos="9350"/>
          <w:tab w:val="left" w:pos="10200"/>
          <w:tab w:val="left" w:pos="11050"/>
          <w:tab w:val="left" w:pos="11900"/>
        </w:tabs>
        <w:autoSpaceDE w:val="0"/>
        <w:autoSpaceDN w:val="0"/>
        <w:adjustRightInd w:val="0"/>
        <w:spacing w:after="0" w:line="240" w:lineRule="auto"/>
        <w:jc w:val="both"/>
        <w:rPr>
          <w:rFonts w:ascii="Times New Roman" w:hAnsi="Times New Roman" w:cs="Times New Roman"/>
          <w:b/>
          <w:bCs/>
          <w:i/>
          <w:iCs/>
          <w:color w:val="000000"/>
          <w:sz w:val="16"/>
          <w:szCs w:val="16"/>
          <w:lang w:val="x-none" w:eastAsia="x-none"/>
        </w:rPr>
      </w:pPr>
    </w:p>
    <w:p w14:paraId="4B7E7D4E" w14:textId="77777777" w:rsidR="006C1DF8" w:rsidRPr="006C1DF8" w:rsidRDefault="006C1DF8" w:rsidP="00AB4615">
      <w:pPr>
        <w:widowControl w:val="0"/>
        <w:tabs>
          <w:tab w:val="left" w:pos="2834"/>
          <w:tab w:val="left" w:pos="5669"/>
          <w:tab w:val="left" w:pos="8503"/>
          <w:tab w:val="left" w:pos="9350"/>
          <w:tab w:val="left" w:pos="10200"/>
          <w:tab w:val="left" w:pos="11050"/>
          <w:tab w:val="left" w:pos="11900"/>
          <w:tab w:val="left" w:pos="12750"/>
          <w:tab w:val="left" w:pos="13600"/>
          <w:tab w:val="left" w:pos="14450"/>
          <w:tab w:val="left" w:pos="15300"/>
          <w:tab w:val="left" w:pos="16150"/>
          <w:tab w:val="left" w:pos="17000"/>
          <w:tab w:val="left" w:pos="17850"/>
        </w:tabs>
        <w:autoSpaceDE w:val="0"/>
        <w:autoSpaceDN w:val="0"/>
        <w:adjustRightInd w:val="0"/>
        <w:spacing w:after="0" w:line="240" w:lineRule="auto"/>
        <w:jc w:val="both"/>
        <w:rPr>
          <w:rFonts w:ascii="Times New Roman" w:hAnsi="Times New Roman" w:cs="Times New Roman"/>
          <w:color w:val="000000"/>
          <w:sz w:val="16"/>
          <w:szCs w:val="16"/>
          <w:lang w:val="x-none" w:eastAsia="x-none"/>
        </w:rPr>
      </w:pPr>
    </w:p>
    <w:p w14:paraId="195DF4DC" w14:textId="4E9A0502" w:rsidR="00B376B7" w:rsidRPr="00541687" w:rsidRDefault="006C1DF8" w:rsidP="00AB4615">
      <w:pPr>
        <w:pStyle w:val="Normal"/>
        <w:tabs>
          <w:tab w:val="left" w:pos="2834"/>
          <w:tab w:val="left" w:pos="5669"/>
          <w:tab w:val="left" w:pos="8503"/>
          <w:tab w:val="left" w:pos="9350"/>
          <w:tab w:val="left" w:pos="10200"/>
          <w:tab w:val="left" w:pos="11050"/>
          <w:tab w:val="left" w:pos="11900"/>
          <w:tab w:val="left" w:pos="12750"/>
          <w:tab w:val="left" w:pos="13600"/>
          <w:tab w:val="left" w:pos="14450"/>
          <w:tab w:val="left" w:pos="15300"/>
          <w:tab w:val="left" w:pos="16150"/>
          <w:tab w:val="left" w:pos="17000"/>
          <w:tab w:val="left" w:pos="17850"/>
        </w:tabs>
        <w:jc w:val="both"/>
        <w:rPr>
          <w:rFonts w:ascii="Times New Roman" w:hAnsi="Times New Roman" w:cs="Times New Roman"/>
          <w:lang w:val="x-none" w:eastAsia="x-none"/>
        </w:rPr>
      </w:pPr>
      <w:r w:rsidRPr="006C1DF8">
        <w:rPr>
          <w:lang w:bidi="uk-UA"/>
        </w:rPr>
        <w:fldChar w:fldCharType="begin"/>
      </w:r>
      <w:r w:rsidRPr="006C1DF8">
        <w:rPr>
          <w:lang w:bidi="uk-UA"/>
        </w:rPr>
        <w:instrText xml:space="preserve"> {KONIEC} </w:instrText>
      </w:r>
      <w:r w:rsidRPr="006C1DF8">
        <w:rPr>
          <w:lang w:bidi="uk-UA"/>
        </w:rPr>
        <w:fldChar w:fldCharType="separate"/>
      </w:r>
      <w:r w:rsidRPr="006C1DF8">
        <w:rPr>
          <w:lang w:bidi="uk-UA"/>
        </w:rPr>
        <w:t xml:space="preserve"> </w:t>
      </w:r>
      <w:r w:rsidRPr="006C1DF8">
        <w:rPr>
          <w:lang w:bidi="uk-UA"/>
        </w:rPr>
        <w:fldChar w:fldCharType="end"/>
      </w:r>
    </w:p>
    <w:sectPr w:rsidR="00B376B7" w:rsidRPr="0054168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1B26E" w14:textId="77777777" w:rsidR="003429D9" w:rsidRDefault="003429D9" w:rsidP="003429D9">
      <w:pPr>
        <w:spacing w:after="0" w:line="240" w:lineRule="auto"/>
      </w:pPr>
      <w:r>
        <w:separator/>
      </w:r>
    </w:p>
  </w:endnote>
  <w:endnote w:type="continuationSeparator" w:id="0">
    <w:p w14:paraId="682E7456" w14:textId="77777777" w:rsidR="003429D9" w:rsidRDefault="003429D9" w:rsidP="003429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8E82B8" w14:textId="77777777" w:rsidR="003429D9" w:rsidRDefault="003429D9" w:rsidP="003429D9">
      <w:pPr>
        <w:spacing w:after="0" w:line="240" w:lineRule="auto"/>
      </w:pPr>
      <w:r>
        <w:separator/>
      </w:r>
    </w:p>
  </w:footnote>
  <w:footnote w:type="continuationSeparator" w:id="0">
    <w:p w14:paraId="5DE70616" w14:textId="77777777" w:rsidR="003429D9" w:rsidRDefault="003429D9" w:rsidP="003429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lvlText w:val="%1."/>
      <w:lvlJc w:val="left"/>
      <w:pPr>
        <w:ind w:left="28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 w:ilvl="1">
      <w:start w:val="1"/>
      <w:numFmt w:val="decimal"/>
      <w:lvlText w:val="%2."/>
      <w:lvlJc w:val="left"/>
      <w:pPr>
        <w:ind w:left="64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 w:ilvl="2">
      <w:start w:val="1"/>
      <w:numFmt w:val="decimal"/>
      <w:lvlText w:val="%3."/>
      <w:lvlJc w:val="left"/>
      <w:pPr>
        <w:ind w:left="100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 w:ilvl="3">
      <w:start w:val="1"/>
      <w:numFmt w:val="decimal"/>
      <w:lvlText w:val="%4."/>
      <w:lvlJc w:val="left"/>
      <w:pPr>
        <w:ind w:left="136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 w:ilvl="4">
      <w:start w:val="1"/>
      <w:numFmt w:val="decimal"/>
      <w:lvlText w:val="%5."/>
      <w:lvlJc w:val="left"/>
      <w:pPr>
        <w:ind w:left="172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 w:ilvl="5">
      <w:start w:val="1"/>
      <w:numFmt w:val="decimal"/>
      <w:lvlText w:val="%6."/>
      <w:lvlJc w:val="left"/>
      <w:pPr>
        <w:ind w:left="208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 w:ilvl="6">
      <w:start w:val="1"/>
      <w:numFmt w:val="decimal"/>
      <w:lvlText w:val="%7."/>
      <w:lvlJc w:val="left"/>
      <w:pPr>
        <w:ind w:left="244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 w:ilvl="7">
      <w:start w:val="1"/>
      <w:numFmt w:val="decimal"/>
      <w:lvlText w:val="%8."/>
      <w:lvlJc w:val="left"/>
      <w:pPr>
        <w:ind w:left="280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 w:ilvl="8">
      <w:start w:val="1"/>
      <w:numFmt w:val="decimal"/>
      <w:lvlText w:val="%9."/>
      <w:lvlJc w:val="left"/>
      <w:pPr>
        <w:ind w:left="316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abstractNum>
  <w:abstractNum w:abstractNumId="1" w15:restartNumberingAfterBreak="0">
    <w:nsid w:val="00000002"/>
    <w:multiLevelType w:val="multilevel"/>
    <w:tmpl w:val="00000002"/>
    <w:lvl w:ilvl="0">
      <w:start w:val="1"/>
      <w:numFmt w:val="decimal"/>
      <w:lvlText w:val="%1)"/>
      <w:lvlJc w:val="left"/>
      <w:pPr>
        <w:ind w:left="56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1">
      <w:start w:val="1"/>
      <w:numFmt w:val="decimal"/>
      <w:lvlText w:val="%2)"/>
      <w:lvlJc w:val="left"/>
      <w:pPr>
        <w:ind w:left="92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2">
      <w:start w:val="1"/>
      <w:numFmt w:val="decimal"/>
      <w:lvlText w:val="%3)"/>
      <w:lvlJc w:val="left"/>
      <w:pPr>
        <w:ind w:left="128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3">
      <w:start w:val="1"/>
      <w:numFmt w:val="decimal"/>
      <w:lvlText w:val="%4)"/>
      <w:lvlJc w:val="left"/>
      <w:pPr>
        <w:ind w:left="164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4">
      <w:start w:val="1"/>
      <w:numFmt w:val="decimal"/>
      <w:lvlText w:val="%5)"/>
      <w:lvlJc w:val="left"/>
      <w:pPr>
        <w:ind w:left="200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5">
      <w:start w:val="1"/>
      <w:numFmt w:val="decimal"/>
      <w:lvlText w:val="%6)"/>
      <w:lvlJc w:val="left"/>
      <w:pPr>
        <w:ind w:left="236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6">
      <w:start w:val="1"/>
      <w:numFmt w:val="decimal"/>
      <w:lvlText w:val="%7)"/>
      <w:lvlJc w:val="left"/>
      <w:pPr>
        <w:ind w:left="272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7">
      <w:start w:val="1"/>
      <w:numFmt w:val="decimal"/>
      <w:lvlText w:val="%8)"/>
      <w:lvlJc w:val="left"/>
      <w:pPr>
        <w:ind w:left="308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8">
      <w:start w:val="1"/>
      <w:numFmt w:val="decimal"/>
      <w:lvlText w:val="%9)"/>
      <w:lvlJc w:val="left"/>
      <w:pPr>
        <w:ind w:left="344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abstractNum>
  <w:abstractNum w:abstractNumId="2" w15:restartNumberingAfterBreak="0">
    <w:nsid w:val="00000003"/>
    <w:multiLevelType w:val="multilevel"/>
    <w:tmpl w:val="00000003"/>
    <w:lvl w:ilvl="0">
      <w:start w:val="1"/>
      <w:numFmt w:val="decimal"/>
      <w:lvlText w:val="%1)"/>
      <w:lvlJc w:val="left"/>
      <w:pPr>
        <w:ind w:left="56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1">
      <w:start w:val="1"/>
      <w:numFmt w:val="decimal"/>
      <w:lvlText w:val="%2)"/>
      <w:lvlJc w:val="left"/>
      <w:pPr>
        <w:ind w:left="92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2">
      <w:start w:val="1"/>
      <w:numFmt w:val="decimal"/>
      <w:lvlText w:val="%3)"/>
      <w:lvlJc w:val="left"/>
      <w:pPr>
        <w:ind w:left="128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3">
      <w:start w:val="1"/>
      <w:numFmt w:val="decimal"/>
      <w:lvlText w:val="%4)"/>
      <w:lvlJc w:val="left"/>
      <w:pPr>
        <w:ind w:left="164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4">
      <w:start w:val="1"/>
      <w:numFmt w:val="decimal"/>
      <w:lvlText w:val="%5)"/>
      <w:lvlJc w:val="left"/>
      <w:pPr>
        <w:ind w:left="200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5">
      <w:start w:val="1"/>
      <w:numFmt w:val="decimal"/>
      <w:lvlText w:val="%6)"/>
      <w:lvlJc w:val="left"/>
      <w:pPr>
        <w:ind w:left="236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6">
      <w:start w:val="1"/>
      <w:numFmt w:val="decimal"/>
      <w:lvlText w:val="%7)"/>
      <w:lvlJc w:val="left"/>
      <w:pPr>
        <w:ind w:left="272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7">
      <w:start w:val="1"/>
      <w:numFmt w:val="decimal"/>
      <w:lvlText w:val="%8)"/>
      <w:lvlJc w:val="left"/>
      <w:pPr>
        <w:ind w:left="308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 w:ilvl="8">
      <w:start w:val="1"/>
      <w:numFmt w:val="decimal"/>
      <w:lvlText w:val="%9)"/>
      <w:lvlJc w:val="left"/>
      <w:pPr>
        <w:ind w:left="3447" w:hanging="283"/>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abstractNum>
  <w:abstractNum w:abstractNumId="3" w15:restartNumberingAfterBreak="0">
    <w:nsid w:val="00000004"/>
    <w:multiLevelType w:val="multilevel"/>
    <w:tmpl w:val="00000004"/>
    <w:lvl w:ilvl="0">
      <w:start w:val="1"/>
      <w:numFmt w:val="decimal"/>
      <w:lvlText w:val="%1)"/>
      <w:lvlJc w:val="left"/>
      <w:pPr>
        <w:ind w:left="142" w:hanging="142"/>
      </w:pPr>
      <w:rPr>
        <w:rFonts w:ascii="Times New Roman" w:hAnsi="Times New Roman" w:cs="Times New Roman"/>
        <w:b w:val="0"/>
        <w:bCs w:val="0"/>
        <w:i w:val="0"/>
        <w:iCs w:val="0"/>
        <w:caps w:val="0"/>
        <w:smallCaps w:val="0"/>
        <w:strike w:val="0"/>
        <w:color w:val="auto"/>
        <w:spacing w:val="0"/>
        <w:w w:val="100"/>
        <w:position w:val="0"/>
        <w:sz w:val="10"/>
        <w:szCs w:val="10"/>
        <w:u w:val="none"/>
        <w:vertAlign w:val="baseline"/>
      </w:rPr>
    </w:lvl>
    <w:lvl w:ilvl="1">
      <w:start w:val="1"/>
      <w:numFmt w:val="decimal"/>
      <w:lvlText w:val="%2)"/>
      <w:lvlJc w:val="left"/>
      <w:pPr>
        <w:ind w:left="502" w:hanging="142"/>
      </w:pPr>
      <w:rPr>
        <w:rFonts w:ascii="Times New Roman" w:hAnsi="Times New Roman" w:cs="Times New Roman"/>
        <w:b w:val="0"/>
        <w:bCs w:val="0"/>
        <w:i w:val="0"/>
        <w:iCs w:val="0"/>
        <w:caps w:val="0"/>
        <w:smallCaps w:val="0"/>
        <w:strike w:val="0"/>
        <w:color w:val="auto"/>
        <w:spacing w:val="0"/>
        <w:w w:val="100"/>
        <w:position w:val="0"/>
        <w:sz w:val="10"/>
        <w:szCs w:val="10"/>
        <w:u w:val="none"/>
        <w:vertAlign w:val="baseline"/>
      </w:rPr>
    </w:lvl>
    <w:lvl w:ilvl="2">
      <w:start w:val="1"/>
      <w:numFmt w:val="decimal"/>
      <w:lvlText w:val="%3)"/>
      <w:lvlJc w:val="left"/>
      <w:pPr>
        <w:ind w:left="862" w:hanging="142"/>
      </w:pPr>
      <w:rPr>
        <w:rFonts w:ascii="Times New Roman" w:hAnsi="Times New Roman" w:cs="Times New Roman"/>
        <w:b w:val="0"/>
        <w:bCs w:val="0"/>
        <w:i w:val="0"/>
        <w:iCs w:val="0"/>
        <w:caps w:val="0"/>
        <w:smallCaps w:val="0"/>
        <w:strike w:val="0"/>
        <w:color w:val="auto"/>
        <w:spacing w:val="0"/>
        <w:w w:val="100"/>
        <w:position w:val="0"/>
        <w:sz w:val="10"/>
        <w:szCs w:val="10"/>
        <w:u w:val="none"/>
        <w:vertAlign w:val="baseline"/>
      </w:rPr>
    </w:lvl>
    <w:lvl w:ilvl="3">
      <w:start w:val="1"/>
      <w:numFmt w:val="decimal"/>
      <w:lvlText w:val="%4)"/>
      <w:lvlJc w:val="left"/>
      <w:pPr>
        <w:ind w:left="1222" w:hanging="142"/>
      </w:pPr>
      <w:rPr>
        <w:rFonts w:ascii="Times New Roman" w:hAnsi="Times New Roman" w:cs="Times New Roman"/>
        <w:b w:val="0"/>
        <w:bCs w:val="0"/>
        <w:i w:val="0"/>
        <w:iCs w:val="0"/>
        <w:caps w:val="0"/>
        <w:smallCaps w:val="0"/>
        <w:strike w:val="0"/>
        <w:color w:val="auto"/>
        <w:spacing w:val="0"/>
        <w:w w:val="100"/>
        <w:position w:val="0"/>
        <w:sz w:val="10"/>
        <w:szCs w:val="10"/>
        <w:u w:val="none"/>
        <w:vertAlign w:val="baseline"/>
      </w:rPr>
    </w:lvl>
    <w:lvl w:ilvl="4">
      <w:start w:val="1"/>
      <w:numFmt w:val="decimal"/>
      <w:lvlText w:val="%5)"/>
      <w:lvlJc w:val="left"/>
      <w:pPr>
        <w:ind w:left="1582" w:hanging="142"/>
      </w:pPr>
      <w:rPr>
        <w:rFonts w:ascii="Times New Roman" w:hAnsi="Times New Roman" w:cs="Times New Roman"/>
        <w:b w:val="0"/>
        <w:bCs w:val="0"/>
        <w:i w:val="0"/>
        <w:iCs w:val="0"/>
        <w:caps w:val="0"/>
        <w:smallCaps w:val="0"/>
        <w:strike w:val="0"/>
        <w:color w:val="auto"/>
        <w:spacing w:val="0"/>
        <w:w w:val="100"/>
        <w:position w:val="0"/>
        <w:sz w:val="10"/>
        <w:szCs w:val="10"/>
        <w:u w:val="none"/>
        <w:vertAlign w:val="baseline"/>
      </w:rPr>
    </w:lvl>
    <w:lvl w:ilvl="5">
      <w:start w:val="1"/>
      <w:numFmt w:val="decimal"/>
      <w:lvlText w:val="%6)"/>
      <w:lvlJc w:val="left"/>
      <w:pPr>
        <w:ind w:left="1942" w:hanging="142"/>
      </w:pPr>
      <w:rPr>
        <w:rFonts w:ascii="Times New Roman" w:hAnsi="Times New Roman" w:cs="Times New Roman"/>
        <w:b w:val="0"/>
        <w:bCs w:val="0"/>
        <w:i w:val="0"/>
        <w:iCs w:val="0"/>
        <w:caps w:val="0"/>
        <w:smallCaps w:val="0"/>
        <w:strike w:val="0"/>
        <w:color w:val="auto"/>
        <w:spacing w:val="0"/>
        <w:w w:val="100"/>
        <w:position w:val="0"/>
        <w:sz w:val="10"/>
        <w:szCs w:val="10"/>
        <w:u w:val="none"/>
        <w:vertAlign w:val="baseline"/>
      </w:rPr>
    </w:lvl>
    <w:lvl w:ilvl="6">
      <w:start w:val="1"/>
      <w:numFmt w:val="decimal"/>
      <w:lvlText w:val="%7)"/>
      <w:lvlJc w:val="left"/>
      <w:pPr>
        <w:ind w:left="2302" w:hanging="142"/>
      </w:pPr>
      <w:rPr>
        <w:rFonts w:ascii="Times New Roman" w:hAnsi="Times New Roman" w:cs="Times New Roman"/>
        <w:b w:val="0"/>
        <w:bCs w:val="0"/>
        <w:i w:val="0"/>
        <w:iCs w:val="0"/>
        <w:caps w:val="0"/>
        <w:smallCaps w:val="0"/>
        <w:strike w:val="0"/>
        <w:color w:val="auto"/>
        <w:spacing w:val="0"/>
        <w:w w:val="100"/>
        <w:position w:val="0"/>
        <w:sz w:val="10"/>
        <w:szCs w:val="10"/>
        <w:u w:val="none"/>
        <w:vertAlign w:val="baseline"/>
      </w:rPr>
    </w:lvl>
    <w:lvl w:ilvl="7">
      <w:start w:val="1"/>
      <w:numFmt w:val="decimal"/>
      <w:lvlText w:val="%8)"/>
      <w:lvlJc w:val="left"/>
      <w:pPr>
        <w:ind w:left="2662" w:hanging="142"/>
      </w:pPr>
      <w:rPr>
        <w:rFonts w:ascii="Times New Roman" w:hAnsi="Times New Roman" w:cs="Times New Roman"/>
        <w:b w:val="0"/>
        <w:bCs w:val="0"/>
        <w:i w:val="0"/>
        <w:iCs w:val="0"/>
        <w:caps w:val="0"/>
        <w:smallCaps w:val="0"/>
        <w:strike w:val="0"/>
        <w:color w:val="auto"/>
        <w:spacing w:val="0"/>
        <w:w w:val="100"/>
        <w:position w:val="0"/>
        <w:sz w:val="10"/>
        <w:szCs w:val="10"/>
        <w:u w:val="none"/>
        <w:vertAlign w:val="baseline"/>
      </w:rPr>
    </w:lvl>
    <w:lvl w:ilvl="8">
      <w:start w:val="1"/>
      <w:numFmt w:val="decimal"/>
      <w:lvlText w:val="%9)"/>
      <w:lvlJc w:val="left"/>
      <w:pPr>
        <w:ind w:left="3022" w:hanging="142"/>
      </w:pPr>
      <w:rPr>
        <w:rFonts w:ascii="Times New Roman" w:hAnsi="Times New Roman" w:cs="Times New Roman"/>
        <w:b w:val="0"/>
        <w:bCs w:val="0"/>
        <w:i w:val="0"/>
        <w:iCs w:val="0"/>
        <w:caps w:val="0"/>
        <w:smallCaps w:val="0"/>
        <w:strike w:val="0"/>
        <w:color w:val="auto"/>
        <w:spacing w:val="0"/>
        <w:w w:val="100"/>
        <w:position w:val="0"/>
        <w:sz w:val="10"/>
        <w:szCs w:val="10"/>
        <w:u w:val="none"/>
        <w:vertAlign w:val="baseline"/>
      </w:rPr>
    </w:lvl>
  </w:abstractNum>
  <w:num w:numId="1" w16cid:durableId="210964180">
    <w:abstractNumId w:val="0"/>
  </w:num>
  <w:num w:numId="2" w16cid:durableId="2048723836">
    <w:abstractNumId w:val="0"/>
    <w:lvlOverride w:ilvl="0">
      <w:lvl w:ilvl="0">
        <w:start w:val="1"/>
        <w:numFmt w:val="decimal"/>
        <w:lvlText w:val="%1."/>
        <w:lvlJc w:val="left"/>
        <w:pPr>
          <w:ind w:left="284" w:hanging="284"/>
        </w:pPr>
        <w:rPr>
          <w:rFonts w:ascii="Times New Roman" w:hAnsi="Times New Roman" w:cs="Times New Roman"/>
          <w:b w:val="0"/>
          <w:bCs w:val="0"/>
          <w:i w:val="0"/>
          <w:iCs w:val="0"/>
          <w:caps w:val="0"/>
          <w:smallCaps w:val="0"/>
          <w:strike w:val="0"/>
          <w:color w:val="000000"/>
          <w:spacing w:val="0"/>
          <w:w w:val="100"/>
          <w:position w:val="0"/>
          <w:sz w:val="20"/>
          <w:szCs w:val="20"/>
          <w:u w:val="none"/>
          <w:vertAlign w:val="baseline"/>
        </w:rPr>
      </w:lvl>
    </w:lvlOverride>
    <w:lvlOverride w:ilvl="1">
      <w:lvl w:ilvl="1">
        <w:start w:val="1"/>
        <w:numFmt w:val="decimal"/>
        <w:lvlText w:val="%2."/>
        <w:lvlJc w:val="left"/>
        <w:pPr>
          <w:ind w:left="64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2">
      <w:lvl w:ilvl="2">
        <w:start w:val="1"/>
        <w:numFmt w:val="decimal"/>
        <w:lvlText w:val="%3."/>
        <w:lvlJc w:val="left"/>
        <w:pPr>
          <w:ind w:left="100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3">
      <w:lvl w:ilvl="3">
        <w:start w:val="1"/>
        <w:numFmt w:val="decimal"/>
        <w:lvlText w:val="%4."/>
        <w:lvlJc w:val="left"/>
        <w:pPr>
          <w:ind w:left="136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4">
      <w:lvl w:ilvl="4">
        <w:start w:val="1"/>
        <w:numFmt w:val="decimal"/>
        <w:lvlText w:val="%5."/>
        <w:lvlJc w:val="left"/>
        <w:pPr>
          <w:ind w:left="172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5">
      <w:lvl w:ilvl="5">
        <w:start w:val="1"/>
        <w:numFmt w:val="decimal"/>
        <w:lvlText w:val="%6."/>
        <w:lvlJc w:val="left"/>
        <w:pPr>
          <w:ind w:left="208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6">
      <w:lvl w:ilvl="6">
        <w:start w:val="1"/>
        <w:numFmt w:val="decimal"/>
        <w:lvlText w:val="%7."/>
        <w:lvlJc w:val="left"/>
        <w:pPr>
          <w:ind w:left="244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7">
      <w:lvl w:ilvl="7">
        <w:start w:val="1"/>
        <w:numFmt w:val="decimal"/>
        <w:lvlText w:val="%8."/>
        <w:lvlJc w:val="left"/>
        <w:pPr>
          <w:ind w:left="280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8">
      <w:lvl w:ilvl="8">
        <w:start w:val="1"/>
        <w:numFmt w:val="decimal"/>
        <w:lvlText w:val="%9."/>
        <w:lvlJc w:val="left"/>
        <w:pPr>
          <w:ind w:left="316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num>
  <w:num w:numId="3" w16cid:durableId="1858154302">
    <w:abstractNumId w:val="0"/>
    <w:lvlOverride w:ilvl="0">
      <w:lvl w:ilvl="0">
        <w:start w:val="1"/>
        <w:numFmt w:val="decimal"/>
        <w:lvlText w:val="%1."/>
        <w:lvlJc w:val="left"/>
        <w:pPr>
          <w:ind w:left="28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1">
      <w:lvl w:ilvl="1">
        <w:start w:val="1"/>
        <w:numFmt w:val="decimal"/>
        <w:lvlText w:val="%2."/>
        <w:lvlJc w:val="left"/>
        <w:pPr>
          <w:ind w:left="64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2">
      <w:lvl w:ilvl="2">
        <w:start w:val="1"/>
        <w:numFmt w:val="decimal"/>
        <w:lvlText w:val="%3."/>
        <w:lvlJc w:val="left"/>
        <w:pPr>
          <w:ind w:left="100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3">
      <w:lvl w:ilvl="3">
        <w:start w:val="1"/>
        <w:numFmt w:val="decimal"/>
        <w:lvlText w:val="%4."/>
        <w:lvlJc w:val="left"/>
        <w:pPr>
          <w:ind w:left="136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4">
      <w:lvl w:ilvl="4">
        <w:start w:val="1"/>
        <w:numFmt w:val="decimal"/>
        <w:lvlText w:val="%5."/>
        <w:lvlJc w:val="left"/>
        <w:pPr>
          <w:ind w:left="172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5">
      <w:lvl w:ilvl="5">
        <w:start w:val="1"/>
        <w:numFmt w:val="decimal"/>
        <w:lvlText w:val="%6."/>
        <w:lvlJc w:val="left"/>
        <w:pPr>
          <w:ind w:left="208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6">
      <w:lvl w:ilvl="6">
        <w:start w:val="1"/>
        <w:numFmt w:val="decimal"/>
        <w:lvlText w:val="%7."/>
        <w:lvlJc w:val="left"/>
        <w:pPr>
          <w:ind w:left="244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7">
      <w:lvl w:ilvl="7">
        <w:start w:val="1"/>
        <w:numFmt w:val="decimal"/>
        <w:lvlText w:val="%8."/>
        <w:lvlJc w:val="left"/>
        <w:pPr>
          <w:ind w:left="280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lvlOverride w:ilvl="8">
      <w:lvl w:ilvl="8">
        <w:start w:val="1"/>
        <w:numFmt w:val="decimal"/>
        <w:lvlText w:val="%9."/>
        <w:lvlJc w:val="left"/>
        <w:pPr>
          <w:ind w:left="3164" w:hanging="284"/>
        </w:pPr>
        <w:rPr>
          <w:rFonts w:ascii="Times New Roman" w:hAnsi="Times New Roman" w:cs="Times New Roman"/>
          <w:b w:val="0"/>
          <w:bCs w:val="0"/>
          <w:i w:val="0"/>
          <w:iCs w:val="0"/>
          <w:caps w:val="0"/>
          <w:smallCaps w:val="0"/>
          <w:strike w:val="0"/>
          <w:color w:val="auto"/>
          <w:spacing w:val="0"/>
          <w:w w:val="100"/>
          <w:position w:val="0"/>
          <w:sz w:val="20"/>
          <w:szCs w:val="20"/>
          <w:u w:val="none"/>
          <w:vertAlign w:val="baseline"/>
        </w:rPr>
      </w:lvl>
    </w:lvlOverride>
  </w:num>
  <w:num w:numId="4" w16cid:durableId="706489724">
    <w:abstractNumId w:val="1"/>
  </w:num>
  <w:num w:numId="5" w16cid:durableId="1407338328">
    <w:abstractNumId w:val="2"/>
  </w:num>
  <w:num w:numId="6" w16cid:durableId="9089254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8616E0"/>
    <w:rsid w:val="0014746F"/>
    <w:rsid w:val="003429D9"/>
    <w:rsid w:val="00541687"/>
    <w:rsid w:val="00584D6E"/>
    <w:rsid w:val="00643A3E"/>
    <w:rsid w:val="006C1DF8"/>
    <w:rsid w:val="00842077"/>
    <w:rsid w:val="008616E0"/>
    <w:rsid w:val="009557B3"/>
    <w:rsid w:val="00AB4615"/>
    <w:rsid w:val="00B129EE"/>
    <w:rsid w:val="00B376B7"/>
    <w:rsid w:val="00CE4A7A"/>
    <w:rsid w:val="00F5277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B1955D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ormal">
    <w:name w:val="[Normal]"/>
    <w:uiPriority w:val="99"/>
    <w:rsid w:val="00541687"/>
    <w:pPr>
      <w:widowControl w:val="0"/>
      <w:autoSpaceDE w:val="0"/>
      <w:autoSpaceDN w:val="0"/>
      <w:adjustRightInd w:val="0"/>
      <w:spacing w:after="0" w:line="240" w:lineRule="auto"/>
    </w:pPr>
    <w:rPr>
      <w:rFonts w:ascii="Arial" w:hAnsi="Arial" w:cs="Arial"/>
      <w:sz w:val="24"/>
      <w:szCs w:val="24"/>
      <w:lang w:eastAsia="pl-PL"/>
    </w:rPr>
  </w:style>
  <w:style w:type="paragraph" w:customStyle="1" w:styleId="BODY">
    <w:name w:val="BODY"/>
    <w:basedOn w:val="Normal"/>
    <w:uiPriority w:val="99"/>
    <w:rsid w:val="00541687"/>
    <w:pPr>
      <w:spacing w:before="134" w:after="134"/>
    </w:pPr>
    <w:rPr>
      <w:lang w:val="x-none" w:eastAsia="x-none"/>
    </w:rPr>
  </w:style>
  <w:style w:type="character" w:customStyle="1" w:styleId="s17">
    <w:name w:val="s17"/>
    <w:basedOn w:val="Domylnaczcionkaakapitu"/>
    <w:uiPriority w:val="99"/>
    <w:rsid w:val="006C1DF8"/>
    <w:rPr>
      <w:strike/>
      <w:lang w:eastAsia="x-none"/>
    </w:rPr>
  </w:style>
  <w:style w:type="character" w:customStyle="1" w:styleId="txt-new1">
    <w:name w:val="txt-new1"/>
    <w:basedOn w:val="Domylnaczcionkaakapitu"/>
    <w:uiPriority w:val="99"/>
    <w:rsid w:val="006C1DF8"/>
    <w:rPr>
      <w:lang w:eastAsia="x-none"/>
    </w:rPr>
  </w:style>
  <w:style w:type="character" w:customStyle="1" w:styleId="tabulatory1">
    <w:name w:val="tabulatory1"/>
    <w:basedOn w:val="Domylnaczcionkaakapitu"/>
    <w:uiPriority w:val="99"/>
    <w:rsid w:val="006C1DF8"/>
    <w:rPr>
      <w:lang w:eastAsia="x-none"/>
    </w:rPr>
  </w:style>
  <w:style w:type="character" w:customStyle="1" w:styleId="txt-new2">
    <w:name w:val="txt-new2"/>
    <w:basedOn w:val="Domylnaczcionkaakapitu"/>
    <w:uiPriority w:val="99"/>
    <w:rsid w:val="006C1DF8"/>
    <w:rPr>
      <w:lang w:eastAsia="x-none"/>
    </w:rPr>
  </w:style>
  <w:style w:type="character" w:customStyle="1" w:styleId="txt-new3">
    <w:name w:val="txt-new3"/>
    <w:basedOn w:val="Domylnaczcionkaakapitu"/>
    <w:uiPriority w:val="99"/>
    <w:rsid w:val="006C1DF8"/>
    <w:rPr>
      <w:lang w:eastAsia="x-none"/>
    </w:rPr>
  </w:style>
  <w:style w:type="character" w:customStyle="1" w:styleId="txt-new4">
    <w:name w:val="txt-new4"/>
    <w:basedOn w:val="Domylnaczcionkaakapitu"/>
    <w:uiPriority w:val="99"/>
    <w:rsid w:val="006C1DF8"/>
    <w:rPr>
      <w:lang w:eastAsia="x-none"/>
    </w:rPr>
  </w:style>
  <w:style w:type="character" w:customStyle="1" w:styleId="txt-new6">
    <w:name w:val="txt-new6"/>
    <w:basedOn w:val="Domylnaczcionkaakapitu"/>
    <w:uiPriority w:val="99"/>
    <w:rsid w:val="006C1DF8"/>
    <w:rPr>
      <w:lang w:eastAsia="x-none"/>
    </w:rPr>
  </w:style>
  <w:style w:type="character" w:customStyle="1" w:styleId="FontStyle15">
    <w:name w:val="Font Style15"/>
    <w:basedOn w:val="Domylnaczcionkaakapitu"/>
    <w:uiPriority w:val="99"/>
    <w:rsid w:val="006C1DF8"/>
    <w:rPr>
      <w:rFonts w:cs="Franklin Gothic Medium"/>
      <w:b/>
      <w:bCs/>
      <w:sz w:val="12"/>
      <w:szCs w:val="12"/>
      <w:lang w:eastAsia="x-none"/>
    </w:rPr>
  </w:style>
  <w:style w:type="paragraph" w:styleId="Nagwek">
    <w:name w:val="header"/>
    <w:basedOn w:val="Normalny"/>
    <w:link w:val="NagwekZnak"/>
    <w:uiPriority w:val="99"/>
    <w:unhideWhenUsed/>
    <w:rsid w:val="003429D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429D9"/>
  </w:style>
  <w:style w:type="paragraph" w:styleId="Stopka">
    <w:name w:val="footer"/>
    <w:basedOn w:val="Normalny"/>
    <w:link w:val="StopkaZnak"/>
    <w:uiPriority w:val="99"/>
    <w:unhideWhenUsed/>
    <w:rsid w:val="003429D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429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2016</Words>
  <Characters>12183</Characters>
  <Application>Microsoft Office Word</Application>
  <DocSecurity>0</DocSecurity>
  <Lines>173</Lines>
  <Paragraphs>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2026-03-19T13:07:00Z</dcterms:created>
  <dcterms:modified xsi:type="dcterms:W3CDTF">2026-03-19T13:07:00Z</dcterms:modified>
</cp:coreProperties>
</file>